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1A5C3D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B5556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постановлением  главы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r w:rsidR="00522275">
        <w:rPr>
          <w:rFonts w:ascii="Times New Roman" w:hAnsi="Times New Roman"/>
        </w:rPr>
        <w:t>Таймурзинский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Дюртюлинский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22786E" w:rsidP="00A651C0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11.11.2022 № 11/3</w:t>
      </w:r>
      <w:bookmarkStart w:id="0" w:name="_GoBack"/>
      <w:bookmarkEnd w:id="0"/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r w:rsidR="00522275">
        <w:rPr>
          <w:b/>
          <w:bCs/>
          <w:sz w:val="24"/>
          <w:szCs w:val="24"/>
        </w:rPr>
        <w:t>Таймурзинский</w:t>
      </w:r>
      <w:r w:rsidR="00A651C0" w:rsidRPr="008B5556">
        <w:rPr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r w:rsidR="00522275">
        <w:rPr>
          <w:bCs/>
          <w:sz w:val="24"/>
          <w:szCs w:val="24"/>
        </w:rPr>
        <w:t>Таймурзинский</w:t>
      </w:r>
      <w:r w:rsidR="00A651C0" w:rsidRPr="008B5556">
        <w:rPr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522275">
        <w:rPr>
          <w:rFonts w:eastAsia="Calibri"/>
          <w:color w:val="000000" w:themeColor="text1"/>
          <w:sz w:val="24"/>
          <w:szCs w:val="24"/>
        </w:rPr>
        <w:t>Таймурзинский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</w:t>
      </w:r>
      <w:r w:rsidR="00A651C0" w:rsidRPr="008B5556">
        <w:rPr>
          <w:rFonts w:eastAsia="Calibri"/>
          <w:color w:val="000000" w:themeColor="text1"/>
          <w:sz w:val="24"/>
          <w:szCs w:val="24"/>
        </w:rPr>
        <w:lastRenderedPageBreak/>
        <w:t>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0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</w:t>
      </w:r>
      <w:r w:rsidR="00522275">
        <w:rPr>
          <w:color w:val="000000" w:themeColor="text1"/>
          <w:sz w:val="24"/>
          <w:szCs w:val="24"/>
        </w:rPr>
        <w:t>«</w:t>
      </w:r>
      <w:r w:rsidR="001F5EC9" w:rsidRPr="008B5556">
        <w:rPr>
          <w:color w:val="000000" w:themeColor="text1"/>
          <w:sz w:val="24"/>
          <w:szCs w:val="24"/>
        </w:rPr>
        <w:t>Интернет</w:t>
      </w:r>
      <w:r w:rsidR="00522275">
        <w:rPr>
          <w:color w:val="000000" w:themeColor="text1"/>
          <w:sz w:val="24"/>
          <w:szCs w:val="24"/>
        </w:rPr>
        <w:t>»</w:t>
      </w:r>
      <w:r w:rsidR="00522275">
        <w:t xml:space="preserve">: </w:t>
      </w:r>
      <w:hyperlink r:id="rId12" w:history="1">
        <w:r w:rsidR="00522275" w:rsidRPr="00522275">
          <w:rPr>
            <w:rStyle w:val="a5"/>
            <w:sz w:val="24"/>
            <w:szCs w:val="24"/>
            <w:u w:val="none"/>
          </w:rPr>
          <w:t>http://taimurzino.ru</w:t>
        </w:r>
      </w:hyperlink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получения сведений о ходе рассмотрения 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Должностное 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</w:t>
      </w:r>
      <w:r w:rsidRPr="008B5556">
        <w:rPr>
          <w:color w:val="000000" w:themeColor="text1"/>
          <w:sz w:val="24"/>
          <w:szCs w:val="24"/>
        </w:rPr>
        <w:lastRenderedPageBreak/>
        <w:t xml:space="preserve">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522275">
        <w:rPr>
          <w:rFonts w:eastAsia="Calibri"/>
          <w:color w:val="000000" w:themeColor="text1"/>
          <w:sz w:val="24"/>
          <w:szCs w:val="24"/>
        </w:rPr>
        <w:t>Таймурзинский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Башкортостан, в лице управляющего дел</w:t>
      </w:r>
      <w:r w:rsidR="00522275">
        <w:rPr>
          <w:rFonts w:eastAsia="Calibri"/>
          <w:color w:val="000000" w:themeColor="text1"/>
          <w:sz w:val="24"/>
          <w:szCs w:val="24"/>
        </w:rPr>
        <w:t>ами</w:t>
      </w:r>
      <w:r w:rsidR="00E51F8A" w:rsidRPr="008B5556">
        <w:rPr>
          <w:rFonts w:eastAsia="Calibri"/>
          <w:color w:val="000000" w:themeColor="text1"/>
          <w:sz w:val="24"/>
          <w:szCs w:val="24"/>
        </w:rPr>
        <w:t>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закрытие разрешения на  осуществление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</w:t>
      </w:r>
      <w:r w:rsidRPr="008B5556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8B5556">
        <w:rPr>
          <w:sz w:val="24"/>
          <w:szCs w:val="24"/>
        </w:rPr>
        <w:t xml:space="preserve"> в многофункциональный центр</w:t>
      </w:r>
      <w:r w:rsidRPr="008B5556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lastRenderedPageBreak/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522275">
        <w:rPr>
          <w:color w:val="000000" w:themeColor="text1"/>
          <w:sz w:val="24"/>
          <w:szCs w:val="24"/>
        </w:rPr>
        <w:t>Таймурзинский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lastRenderedPageBreak/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>к 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>го обеспечения  или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522275">
        <w:rPr>
          <w:color w:val="000000" w:themeColor="text1"/>
          <w:sz w:val="24"/>
          <w:szCs w:val="24"/>
        </w:rPr>
        <w:t>Таймурзинский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</w:t>
      </w:r>
      <w:r w:rsidRPr="008B5556">
        <w:rPr>
          <w:color w:val="000000" w:themeColor="text1"/>
          <w:sz w:val="24"/>
          <w:szCs w:val="24"/>
        </w:rPr>
        <w:lastRenderedPageBreak/>
        <w:t xml:space="preserve">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8B5556">
        <w:rPr>
          <w:color w:val="000000" w:themeColor="text1"/>
          <w:sz w:val="24"/>
          <w:szCs w:val="24"/>
        </w:rPr>
        <w:t>если :</w:t>
      </w:r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522275">
        <w:rPr>
          <w:color w:val="000000" w:themeColor="text1"/>
          <w:sz w:val="24"/>
          <w:szCs w:val="24"/>
        </w:rPr>
        <w:t>Таймурзинский</w:t>
      </w:r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 (муниципальными правовыми актами) не предусмотрены.</w:t>
      </w:r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17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8B5556">
        <w:rPr>
          <w:color w:val="000000" w:themeColor="text1"/>
          <w:sz w:val="24"/>
          <w:szCs w:val="24"/>
        </w:rPr>
        <w:lastRenderedPageBreak/>
        <w:t>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(РПГУ),</w:t>
      </w:r>
      <w:r w:rsidRPr="008B5556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«оттенки серого» (при наличии в документе графических изображений, </w:t>
      </w:r>
      <w:r w:rsidRPr="008B5556">
        <w:rPr>
          <w:color w:val="000000" w:themeColor="text1"/>
          <w:sz w:val="24"/>
          <w:szCs w:val="24"/>
        </w:rPr>
        <w:lastRenderedPageBreak/>
        <w:t>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</w:t>
      </w:r>
      <w:r w:rsidR="00767883" w:rsidRPr="008B5556">
        <w:rPr>
          <w:sz w:val="24"/>
          <w:szCs w:val="24"/>
        </w:rPr>
        <w:lastRenderedPageBreak/>
        <w:t>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8B5556">
        <w:rPr>
          <w:rFonts w:eastAsia="Calibri"/>
          <w:color w:val="000000" w:themeColor="text1"/>
          <w:lang w:eastAsia="en-US"/>
        </w:rPr>
        <w:t>: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</w:t>
      </w:r>
      <w:r w:rsidRPr="008B5556">
        <w:lastRenderedPageBreak/>
        <w:t xml:space="preserve">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 </w:t>
      </w:r>
      <w:r w:rsidRPr="008B5556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8B5556">
        <w:rPr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B8606C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>
        <w:rPr>
          <w:color w:val="000000" w:themeColor="text1"/>
          <w:sz w:val="24"/>
          <w:szCs w:val="24"/>
        </w:rPr>
        <w:t>енного органа), уполномоченными</w:t>
      </w:r>
      <w:r w:rsidRPr="008B5556">
        <w:rPr>
          <w:color w:val="000000" w:themeColor="text1"/>
          <w:sz w:val="24"/>
          <w:szCs w:val="24"/>
        </w:rPr>
        <w:t xml:space="preserve">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>
        <w:rPr>
          <w:color w:val="000000" w:themeColor="text1"/>
          <w:sz w:val="24"/>
          <w:szCs w:val="24"/>
        </w:rPr>
        <w:t xml:space="preserve">, </w:t>
      </w:r>
      <w:r w:rsidR="00D2136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8F1092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>дписывается 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 xml:space="preserve">должностных лиц, </w:t>
      </w:r>
      <w:r w:rsidR="00B00221" w:rsidRPr="008B5556">
        <w:rPr>
          <w:b/>
          <w:sz w:val="24"/>
          <w:szCs w:val="24"/>
        </w:rPr>
        <w:t xml:space="preserve"> муниципальных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8F1092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r>
        <w:rPr>
          <w:rFonts w:eastAsia="Calibri"/>
          <w:color w:val="000000" w:themeColor="text1"/>
          <w:sz w:val="24"/>
          <w:szCs w:val="24"/>
        </w:rPr>
        <w:t>Таймурзинский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F1092">
        <w:rPr>
          <w:rFonts w:eastAsia="Calibri"/>
          <w:color w:val="000000" w:themeColor="text1"/>
          <w:sz w:val="24"/>
          <w:szCs w:val="24"/>
        </w:rPr>
        <w:t xml:space="preserve">от </w:t>
      </w:r>
      <w:r w:rsidRPr="008F1092">
        <w:rPr>
          <w:rFonts w:eastAsia="Calibri"/>
          <w:color w:val="000000"/>
          <w:sz w:val="24"/>
          <w:szCs w:val="24"/>
        </w:rPr>
        <w:t xml:space="preserve"> </w:t>
      </w:r>
      <w:r w:rsidRPr="008F1092">
        <w:rPr>
          <w:rFonts w:eastAsia="Calibri"/>
          <w:sz w:val="24"/>
          <w:szCs w:val="24"/>
        </w:rPr>
        <w:t xml:space="preserve">19.11.2018  № 11/3 </w:t>
      </w:r>
      <w:r w:rsidRPr="008F1092">
        <w:rPr>
          <w:sz w:val="24"/>
          <w:szCs w:val="24"/>
        </w:rPr>
        <w:t xml:space="preserve"> </w:t>
      </w:r>
      <w:r w:rsidRPr="008F1092">
        <w:rPr>
          <w:rFonts w:eastAsia="Calibri"/>
          <w:color w:val="000000" w:themeColor="text1"/>
          <w:sz w:val="24"/>
          <w:szCs w:val="24"/>
        </w:rPr>
        <w:t>«</w:t>
      </w:r>
      <w:r w:rsidRPr="008F1092">
        <w:rPr>
          <w:color w:val="000000" w:themeColor="text1"/>
          <w:sz w:val="24"/>
          <w:szCs w:val="24"/>
        </w:rPr>
        <w:t>О правилах подачи и рассмотрения жалоб на решения и действия</w:t>
      </w:r>
      <w:r w:rsidRPr="008B5556">
        <w:rPr>
          <w:color w:val="000000" w:themeColor="text1"/>
          <w:sz w:val="24"/>
          <w:szCs w:val="24"/>
        </w:rPr>
        <w:t xml:space="preserve">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</w:t>
      </w:r>
      <w:r w:rsidRPr="008B5556">
        <w:rPr>
          <w:color w:val="000000" w:themeColor="text1"/>
          <w:sz w:val="24"/>
          <w:szCs w:val="24"/>
        </w:rPr>
        <w:lastRenderedPageBreak/>
        <w:t>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>
        <w:rPr>
          <w:color w:val="000000" w:themeColor="text1"/>
          <w:sz w:val="24"/>
          <w:szCs w:val="24"/>
        </w:rPr>
        <w:t>ия муниципальной услуги</w:t>
      </w:r>
      <w:r w:rsidRPr="008B5556">
        <w:rPr>
          <w:color w:val="000000" w:themeColor="text1"/>
          <w:sz w:val="24"/>
          <w:szCs w:val="24"/>
        </w:rPr>
        <w:t xml:space="preserve">  в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</w:t>
      </w:r>
      <w:r w:rsidRPr="008B5556">
        <w:rPr>
          <w:color w:val="000000" w:themeColor="text1"/>
          <w:sz w:val="24"/>
          <w:szCs w:val="24"/>
        </w:rPr>
        <w:lastRenderedPageBreak/>
        <w:t xml:space="preserve">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 xml:space="preserve">скан-копии </w:t>
      </w:r>
      <w:r w:rsidRPr="008B5556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, направляются в Администрацию (Уполномоченный 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центр </w:t>
      </w:r>
      <w:r w:rsidR="00A426B9" w:rsidRPr="00B2469B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 xml:space="preserve">многофункциональный центр </w:t>
      </w:r>
      <w:r w:rsidR="00A426B9" w:rsidRPr="00B2469B">
        <w:rPr>
          <w:sz w:val="24"/>
          <w:szCs w:val="24"/>
        </w:rPr>
        <w:t>,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lastRenderedPageBreak/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t xml:space="preserve">  </w:t>
      </w:r>
      <w:r w:rsidRPr="00B2469B">
        <w:rPr>
          <w:rFonts w:eastAsia="Calibri"/>
          <w:color w:val="000000" w:themeColor="text1"/>
          <w:sz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2469B">
        <w:rPr>
          <w:rFonts w:eastAsia="Calibri"/>
          <w:color w:val="000000" w:themeColor="text1"/>
          <w:sz w:val="24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</w:t>
      </w:r>
      <w:r w:rsidR="00FF24B6" w:rsidRPr="00B2469B">
        <w:rPr>
          <w:sz w:val="24"/>
        </w:rPr>
        <w:lastRenderedPageBreak/>
        <w:t xml:space="preserve">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6C" w:rsidRDefault="00B8606C" w:rsidP="007753F7">
      <w:pPr>
        <w:spacing w:after="0" w:line="240" w:lineRule="auto"/>
      </w:pPr>
      <w:r>
        <w:separator/>
      </w:r>
    </w:p>
  </w:endnote>
  <w:endnote w:type="continuationSeparator" w:id="0">
    <w:p w:rsidR="00B8606C" w:rsidRDefault="00B8606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6C" w:rsidRDefault="00B8606C" w:rsidP="007753F7">
      <w:pPr>
        <w:spacing w:after="0" w:line="240" w:lineRule="auto"/>
      </w:pPr>
      <w:r>
        <w:separator/>
      </w:r>
    </w:p>
  </w:footnote>
  <w:footnote w:type="continuationSeparator" w:id="0">
    <w:p w:rsidR="00B8606C" w:rsidRDefault="00B8606C" w:rsidP="007753F7">
      <w:pPr>
        <w:spacing w:after="0" w:line="240" w:lineRule="auto"/>
      </w:pPr>
      <w:r>
        <w:continuationSeparator/>
      </w:r>
    </w:p>
  </w:footnote>
  <w:footnote w:id="1">
    <w:p w:rsidR="00522275" w:rsidRDefault="00522275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522275" w:rsidRPr="002A21E9" w:rsidRDefault="00522275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522275" w:rsidRDefault="00522275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2786E"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522275" w:rsidRDefault="0052227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2786E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8606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E33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imurzino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CFA7-B905-41A3-8D21-408B9059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23917</Words>
  <Characters>136329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10</cp:revision>
  <cp:lastPrinted>2022-10-17T09:19:00Z</cp:lastPrinted>
  <dcterms:created xsi:type="dcterms:W3CDTF">2022-10-24T03:57:00Z</dcterms:created>
  <dcterms:modified xsi:type="dcterms:W3CDTF">2023-09-26T04:08:00Z</dcterms:modified>
</cp:coreProperties>
</file>