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67" w:rsidRDefault="004B4750" w:rsidP="00BE19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BE1967" w:rsidRPr="00FA22AE" w:rsidRDefault="00BE1967" w:rsidP="002A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Об утве</w:t>
      </w:r>
      <w:bookmarkStart w:id="0" w:name="_GoBack"/>
      <w:bookmarkEnd w:id="0"/>
      <w:r w:rsidRPr="00FA22AE">
        <w:rPr>
          <w:rFonts w:ascii="Times New Roman" w:hAnsi="Times New Roman" w:cs="Times New Roman"/>
          <w:b/>
          <w:sz w:val="28"/>
          <w:szCs w:val="28"/>
        </w:rPr>
        <w:t xml:space="preserve">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A5B7E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5216E" w:rsidRPr="00FA22AE" w:rsidRDefault="00B5216E" w:rsidP="004B4750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A5B7E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7CB" w:rsidRPr="00BE1967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67">
        <w:rPr>
          <w:rFonts w:ascii="Times New Roman" w:hAnsi="Times New Roman" w:cs="Times New Roman"/>
          <w:sz w:val="28"/>
          <w:szCs w:val="28"/>
        </w:rPr>
        <w:t>ПОСТАНОВЛЯ</w:t>
      </w:r>
      <w:r w:rsidR="00BE1967" w:rsidRPr="00BE1967">
        <w:rPr>
          <w:rFonts w:ascii="Times New Roman" w:hAnsi="Times New Roman" w:cs="Times New Roman"/>
          <w:sz w:val="28"/>
          <w:szCs w:val="28"/>
        </w:rPr>
        <w:t>Ю</w:t>
      </w:r>
      <w:r w:rsidRPr="00BE1967">
        <w:rPr>
          <w:rFonts w:ascii="Times New Roman" w:hAnsi="Times New Roman" w:cs="Times New Roman"/>
          <w:sz w:val="28"/>
          <w:szCs w:val="28"/>
        </w:rPr>
        <w:t>:</w:t>
      </w:r>
    </w:p>
    <w:p w:rsidR="002A5B7E" w:rsidRDefault="00B647CB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2A5B7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2A5B7E">
        <w:rPr>
          <w:rFonts w:ascii="Times New Roman" w:hAnsi="Times New Roman" w:cs="Times New Roman"/>
          <w:sz w:val="28"/>
          <w:szCs w:val="28"/>
        </w:rPr>
        <w:t>«</w:t>
      </w:r>
      <w:r w:rsidR="00D40B95" w:rsidRPr="002A5B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E1967" w:rsidRPr="002A5B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2A5B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967" w:rsidRPr="002A5B7E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A5B7E" w:rsidRPr="002A5B7E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r w:rsidR="00BE1967" w:rsidRPr="002A5B7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BE1967" w:rsidRPr="002A5B7E" w:rsidRDefault="002A5B7E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сельского поселения Таймурзинский  сельсовет  муниципального района Дюртюлинский район Республики Башкортостан от 23.01.2020. № 1/3 «</w:t>
      </w:r>
      <w:r w:rsidRPr="002A5B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A5B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A5B7E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  <w:r w:rsidRPr="002A5B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E1967" w:rsidRPr="002A5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2A5B7E" w:rsidRDefault="00AE447C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BE1967" w:rsidRPr="002A5B7E" w:rsidRDefault="00BE1967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2A5B7E" w:rsidRPr="002A5B7E">
        <w:rPr>
          <w:rFonts w:ascii="Times New Roman" w:hAnsi="Times New Roman" w:cs="Times New Roman"/>
          <w:sz w:val="28"/>
          <w:szCs w:val="28"/>
        </w:rPr>
        <w:t>Таймурзинский</w:t>
      </w:r>
      <w:r w:rsidRPr="002A5B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</w:t>
      </w:r>
      <w:r w:rsidR="002A5B7E">
        <w:rPr>
          <w:rFonts w:ascii="Times New Roman" w:hAnsi="Times New Roman" w:cs="Times New Roman"/>
          <w:sz w:val="28"/>
          <w:szCs w:val="28"/>
        </w:rPr>
        <w:t>остан по адресу: с.Таймурзино</w:t>
      </w:r>
      <w:r w:rsidRPr="002A5B7E">
        <w:rPr>
          <w:rFonts w:ascii="Times New Roman" w:hAnsi="Times New Roman" w:cs="Times New Roman"/>
          <w:sz w:val="28"/>
          <w:szCs w:val="28"/>
        </w:rPr>
        <w:t xml:space="preserve">, ул.Советская, </w:t>
      </w:r>
      <w:r w:rsidR="002A5B7E">
        <w:rPr>
          <w:rFonts w:ascii="Times New Roman" w:hAnsi="Times New Roman" w:cs="Times New Roman"/>
          <w:sz w:val="28"/>
          <w:szCs w:val="28"/>
        </w:rPr>
        <w:t>4</w:t>
      </w:r>
      <w:r w:rsidRPr="002A5B7E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BE1967" w:rsidRPr="002A5B7E" w:rsidRDefault="00BE1967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50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AE447C" w:rsidRP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4B4750"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B4750">
        <w:rPr>
          <w:rFonts w:ascii="Times New Roman" w:hAnsi="Times New Roman" w:cs="Times New Roman"/>
          <w:b/>
          <w:sz w:val="28"/>
          <w:szCs w:val="28"/>
        </w:rPr>
        <w:t xml:space="preserve">        У.Ф.Агадуллин</w:t>
      </w:r>
    </w:p>
    <w:p w:rsidR="004B4750" w:rsidRP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750" w:rsidRP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50">
        <w:rPr>
          <w:rFonts w:ascii="Times New Roman" w:hAnsi="Times New Roman" w:cs="Times New Roman"/>
          <w:b/>
          <w:sz w:val="28"/>
          <w:szCs w:val="28"/>
        </w:rPr>
        <w:t>с.Таймурзино</w:t>
      </w:r>
    </w:p>
    <w:p w:rsidR="004B4750" w:rsidRP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50">
        <w:rPr>
          <w:rFonts w:ascii="Times New Roman" w:hAnsi="Times New Roman" w:cs="Times New Roman"/>
          <w:b/>
          <w:sz w:val="28"/>
          <w:szCs w:val="28"/>
        </w:rPr>
        <w:t>«___»____________2021 г.</w:t>
      </w:r>
    </w:p>
    <w:p w:rsidR="004B4750" w:rsidRP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50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5B7E" w:rsidRDefault="002A5B7E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5B7E" w:rsidRDefault="002A5B7E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5B7E" w:rsidRDefault="002A5B7E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 _____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2A5B7E">
        <w:rPr>
          <w:rFonts w:ascii="Times New Roman" w:hAnsi="Times New Roman" w:cs="Times New Roman"/>
          <w:b/>
          <w:bCs/>
          <w:sz w:val="24"/>
          <w:szCs w:val="24"/>
        </w:rPr>
        <w:t>Таймурзинский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bCs/>
          <w:sz w:val="24"/>
          <w:szCs w:val="24"/>
        </w:rPr>
        <w:t>Таймурзинский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Республики Башкортостан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(www.gosuslugi.bashkortostan.ru) (далее – РПГУ);</w:t>
      </w:r>
    </w:p>
    <w:p w:rsidR="002A5B7E" w:rsidRPr="002A5B7E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2A5B7E">
        <w:rPr>
          <w:rFonts w:ascii="Times New Roman" w:hAnsi="Times New Roman" w:cs="Times New Roman"/>
          <w:sz w:val="24"/>
          <w:szCs w:val="24"/>
        </w:rPr>
        <w:t>:</w:t>
      </w:r>
      <w:r w:rsidR="002A5B7E" w:rsidRPr="002A5B7E">
        <w:t xml:space="preserve"> </w:t>
      </w:r>
      <w:hyperlink r:id="rId8" w:tgtFrame="_blank" w:history="1">
        <w:r w:rsidR="002A5B7E" w:rsidRPr="002A5B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http://taimurzino.ru/alpufa/</w:t>
        </w:r>
      </w:hyperlink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51F2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</w:t>
      </w:r>
      <w:r w:rsidR="00236C4A" w:rsidRPr="00751F29">
        <w:rPr>
          <w:rFonts w:ascii="Times New Roman" w:hAnsi="Times New Roman" w:cs="Times New Roman"/>
          <w:sz w:val="24"/>
          <w:szCs w:val="24"/>
        </w:rPr>
        <w:lastRenderedPageBreak/>
        <w:t>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(неподтверждающие)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</w:t>
      </w:r>
      <w:r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="002A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="002A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4B4750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46" w:rsidRDefault="00240646">
      <w:pPr>
        <w:spacing w:after="0" w:line="240" w:lineRule="auto"/>
      </w:pPr>
      <w:r>
        <w:separator/>
      </w:r>
    </w:p>
  </w:endnote>
  <w:endnote w:type="continuationSeparator" w:id="0">
    <w:p w:rsidR="00240646" w:rsidRDefault="0024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46" w:rsidRDefault="00240646">
      <w:pPr>
        <w:spacing w:after="0" w:line="240" w:lineRule="auto"/>
      </w:pPr>
      <w:r>
        <w:separator/>
      </w:r>
    </w:p>
  </w:footnote>
  <w:footnote w:type="continuationSeparator" w:id="0">
    <w:p w:rsidR="00240646" w:rsidRDefault="0024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E" w:rsidRPr="00236CD7" w:rsidRDefault="002A5B7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B4750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A5B7E" w:rsidRDefault="002A5B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BB4F05"/>
    <w:multiLevelType w:val="hybridMultilevel"/>
    <w:tmpl w:val="30BAA1D8"/>
    <w:lvl w:ilvl="0" w:tplc="24BE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0646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B7E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4750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80AC"/>
  <w15:docId w15:val="{032CF32D-6512-45CB-872A-05E0167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rsid w:val="004B47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B4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C72F-04A6-43B7-9947-6FB98AC9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31</Pages>
  <Words>13694</Words>
  <Characters>78059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8</cp:revision>
  <cp:lastPrinted>2021-07-09T04:52:00Z</cp:lastPrinted>
  <dcterms:created xsi:type="dcterms:W3CDTF">2021-07-01T10:04:00Z</dcterms:created>
  <dcterms:modified xsi:type="dcterms:W3CDTF">2021-07-09T04:52:00Z</dcterms:modified>
</cp:coreProperties>
</file>