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51" w:rsidRDefault="00B14CCC" w:rsidP="006512F0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AF0651" w:rsidRDefault="00AF0651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556022" w:rsidRDefault="00B14CCC" w:rsidP="006512F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>оложения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8A6B47" w:rsidRPr="0055602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8A6B47" w:rsidRPr="005560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BB3EA0" w:rsidRPr="008A6B47" w:rsidRDefault="00BB3EA0" w:rsidP="00B1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</w:t>
      </w:r>
      <w:r w:rsidR="00556022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учета, осуществления контроля </w:t>
      </w:r>
      <w:proofErr w:type="gramStart"/>
      <w:r w:rsidR="0055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6022">
        <w:rPr>
          <w:rFonts w:ascii="Times New Roman" w:hAnsi="Times New Roman" w:cs="Times New Roman"/>
          <w:sz w:val="28"/>
          <w:szCs w:val="28"/>
        </w:rPr>
        <w:t xml:space="preserve"> сохранностью и рациональным использованием муниципального имущества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>:</w:t>
      </w:r>
    </w:p>
    <w:p w:rsidR="00556022" w:rsidRPr="008A6B47" w:rsidRDefault="00556022" w:rsidP="00B14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5560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FA09A8" w:rsidRDefault="00BB3EA0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56022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</w:t>
      </w:r>
      <w:r w:rsidR="00B14CCC">
        <w:rPr>
          <w:rFonts w:ascii="Times New Roman" w:hAnsi="Times New Roman" w:cs="Times New Roman"/>
          <w:sz w:val="28"/>
          <w:szCs w:val="28"/>
        </w:rPr>
        <w:t>тан от 26 июня 2006 года № 13</w:t>
      </w:r>
      <w:r w:rsidR="005560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 находящихся в собственности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56022" w:rsidRPr="00FA09A8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FA09A8" w:rsidRPr="00FA09A8">
        <w:rPr>
          <w:rFonts w:ascii="Times New Roman" w:hAnsi="Times New Roman" w:cs="Times New Roman"/>
          <w:sz w:val="28"/>
          <w:szCs w:val="28"/>
        </w:rPr>
        <w:t>.</w:t>
      </w:r>
    </w:p>
    <w:p w:rsidR="00FA09A8" w:rsidRDefault="00FA09A8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09A8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сайте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Pr="00FA09A8">
        <w:rPr>
          <w:rFonts w:ascii="Times New Roman" w:hAnsi="Times New Roman" w:cs="Times New Roman"/>
          <w:sz w:val="28"/>
          <w:szCs w:val="28"/>
          <w:lang w:bidi="he-IL"/>
        </w:rPr>
        <w:t>Таймурзинский</w:t>
      </w:r>
      <w:proofErr w:type="spellEnd"/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FA09A8">
        <w:rPr>
          <w:rFonts w:ascii="Times New Roman" w:hAnsi="Times New Roman" w:cs="Times New Roman"/>
          <w:sz w:val="28"/>
          <w:szCs w:val="28"/>
        </w:rPr>
        <w:t xml:space="preserve">   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FA09A8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 в сети «Интернет».</w:t>
      </w:r>
    </w:p>
    <w:p w:rsidR="00FA09A8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 </w:t>
      </w:r>
      <w:r w:rsidR="00FA09A8" w:rsidRPr="00FA09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FA09A8" w:rsidRPr="000D4747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FA09A8" w:rsidRPr="00FA0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9A8" w:rsidRPr="00FA09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="00FA09A8" w:rsidRPr="00FA09A8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FA09A8" w:rsidRPr="00FA09A8">
        <w:rPr>
          <w:rFonts w:ascii="Times New Roman" w:hAnsi="Times New Roman" w:cs="Times New Roman"/>
          <w:sz w:val="28"/>
          <w:szCs w:val="28"/>
        </w:rPr>
        <w:t xml:space="preserve"> В.Т.)</w:t>
      </w:r>
    </w:p>
    <w:p w:rsidR="00FA09A8" w:rsidRPr="00FA09A8" w:rsidRDefault="00FA09A8" w:rsidP="00FA09A8">
      <w:pPr>
        <w:pStyle w:val="2"/>
        <w:tabs>
          <w:tab w:val="left" w:pos="11700"/>
        </w:tabs>
        <w:spacing w:line="240" w:lineRule="auto"/>
        <w:ind w:right="-186"/>
        <w:rPr>
          <w:sz w:val="28"/>
          <w:szCs w:val="28"/>
        </w:rPr>
      </w:pPr>
    </w:p>
    <w:p w:rsidR="00FA09A8" w:rsidRPr="00FA09A8" w:rsidRDefault="000D4747" w:rsidP="00FA09A8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Р.Т.Фатхутдинов</w:t>
      </w:r>
      <w:proofErr w:type="spellEnd"/>
    </w:p>
    <w:p w:rsidR="00FA09A8" w:rsidRPr="00FA09A8" w:rsidRDefault="00FA09A8" w:rsidP="00FA0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A8" w:rsidRPr="00FA09A8" w:rsidRDefault="00FA09A8" w:rsidP="000D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9A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A09A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FA09A8">
        <w:rPr>
          <w:rFonts w:ascii="Times New Roman" w:hAnsi="Times New Roman" w:cs="Times New Roman"/>
          <w:b/>
          <w:sz w:val="28"/>
          <w:szCs w:val="28"/>
        </w:rPr>
        <w:t>аймурзино</w:t>
      </w:r>
      <w:proofErr w:type="spellEnd"/>
    </w:p>
    <w:p w:rsidR="00FA09A8" w:rsidRPr="00FA09A8" w:rsidRDefault="00FA09A8" w:rsidP="000D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A8">
        <w:rPr>
          <w:rFonts w:ascii="Times New Roman" w:hAnsi="Times New Roman" w:cs="Times New Roman"/>
          <w:b/>
          <w:sz w:val="28"/>
          <w:szCs w:val="28"/>
        </w:rPr>
        <w:t>«___»_____________2020 г.</w:t>
      </w:r>
    </w:p>
    <w:p w:rsidR="00556022" w:rsidRPr="000D4747" w:rsidRDefault="000D4747" w:rsidP="000D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747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74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D474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5602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5560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1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75167"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 w:rsidR="00075167">
        <w:rPr>
          <w:rFonts w:ascii="Times New Roman" w:hAnsi="Times New Roman" w:cs="Times New Roman"/>
          <w:sz w:val="28"/>
          <w:szCs w:val="28"/>
        </w:rPr>
        <w:t xml:space="preserve">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B1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B1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Pr="001859C0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59C0" w:rsidRPr="001859C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1859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 xml:space="preserve">ены постановлением администрации муниципального района </w:t>
      </w:r>
      <w:proofErr w:type="spellStart"/>
      <w:r w:rsidR="0000378E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12.04.2019 года № 433</w:t>
      </w:r>
      <w:r w:rsidR="002F0144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обращений организаций о согласовании списания недвижимого имущества, находящегося в собственности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42E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42E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0242E9" w:rsidRPr="000242E9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42E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вследствие действия (бездействия) или принятого решения виновных лиц,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</w:t>
      </w:r>
      <w:r w:rsidR="00C57891">
        <w:t xml:space="preserve">  </w:t>
      </w:r>
      <w:r w:rsidR="00C57891" w:rsidRPr="00C57891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014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F01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FA09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378E"/>
    <w:rsid w:val="000242E9"/>
    <w:rsid w:val="00075167"/>
    <w:rsid w:val="000D4747"/>
    <w:rsid w:val="0011577D"/>
    <w:rsid w:val="001626B9"/>
    <w:rsid w:val="00166F4D"/>
    <w:rsid w:val="001859C0"/>
    <w:rsid w:val="00204788"/>
    <w:rsid w:val="002F0144"/>
    <w:rsid w:val="0040000A"/>
    <w:rsid w:val="004674AA"/>
    <w:rsid w:val="00556022"/>
    <w:rsid w:val="006512F0"/>
    <w:rsid w:val="008A6B47"/>
    <w:rsid w:val="00AF0651"/>
    <w:rsid w:val="00B14CCC"/>
    <w:rsid w:val="00BB3EA0"/>
    <w:rsid w:val="00C57891"/>
    <w:rsid w:val="00CC4218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1</cp:lastModifiedBy>
  <cp:revision>7</cp:revision>
  <cp:lastPrinted>2020-07-09T10:24:00Z</cp:lastPrinted>
  <dcterms:created xsi:type="dcterms:W3CDTF">2020-03-10T07:32:00Z</dcterms:created>
  <dcterms:modified xsi:type="dcterms:W3CDTF">2020-07-09T10:37:00Z</dcterms:modified>
</cp:coreProperties>
</file>