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52" w:rsidRPr="00621D52" w:rsidRDefault="00621D52" w:rsidP="00621D52">
      <w:pPr>
        <w:spacing w:line="240" w:lineRule="auto"/>
        <w:jc w:val="center"/>
      </w:pPr>
      <w:r w:rsidRPr="00621D52">
        <w:t>Администрация</w:t>
      </w:r>
    </w:p>
    <w:p w:rsidR="00621D52" w:rsidRPr="00621D52" w:rsidRDefault="00621D52" w:rsidP="00621D52">
      <w:pPr>
        <w:spacing w:line="240" w:lineRule="auto"/>
        <w:jc w:val="center"/>
      </w:pPr>
      <w:r w:rsidRPr="00621D52">
        <w:t>сельского поселения Таймурзинский сельсовет муниципального района</w:t>
      </w:r>
    </w:p>
    <w:p w:rsidR="00621D52" w:rsidRPr="00621D52" w:rsidRDefault="00621D52" w:rsidP="00621D52">
      <w:pPr>
        <w:spacing w:line="240" w:lineRule="auto"/>
        <w:jc w:val="center"/>
      </w:pPr>
      <w:r w:rsidRPr="00621D52">
        <w:t>Дюртюлинский район Республики Башкортостан</w:t>
      </w:r>
    </w:p>
    <w:p w:rsidR="00621D52" w:rsidRPr="00621D52" w:rsidRDefault="00621D52" w:rsidP="00621D52">
      <w:pPr>
        <w:spacing w:line="240" w:lineRule="auto"/>
      </w:pPr>
    </w:p>
    <w:p w:rsidR="00621D52" w:rsidRPr="00621D52" w:rsidRDefault="00621D52" w:rsidP="00621D52">
      <w:pPr>
        <w:spacing w:line="240" w:lineRule="auto"/>
        <w:jc w:val="center"/>
      </w:pPr>
      <w:r w:rsidRPr="00621D52">
        <w:t>ПОС</w:t>
      </w:r>
      <w:r w:rsidRPr="00621D52">
        <w:t>ТАНОВЛЕНИЕ от 04.12.2019. № 12/5</w:t>
      </w:r>
    </w:p>
    <w:p w:rsidR="006E0C59" w:rsidRPr="00CF335A" w:rsidRDefault="006E0C59" w:rsidP="000817FB">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сельского поселения Таймурзинский сельсовет муниципального района Дюртюлинский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CF335A" w:rsidRDefault="009A02A5" w:rsidP="008E266D">
      <w:pPr>
        <w:suppressAutoHyphens/>
        <w:spacing w:after="0" w:line="240" w:lineRule="auto"/>
        <w:ind w:firstLine="709"/>
        <w:jc w:val="both"/>
        <w:rPr>
          <w:lang w:eastAsia="ar-SA"/>
        </w:rPr>
      </w:pPr>
      <w:r>
        <w:rPr>
          <w:lang w:eastAsia="ar-SA"/>
        </w:rPr>
        <w:t>ПОСТАНОВЛЯЮ</w:t>
      </w:r>
      <w:r w:rsidR="006E0C59" w:rsidRPr="00CF335A">
        <w:rPr>
          <w:lang w:eastAsia="ar-SA"/>
        </w:rPr>
        <w:t>:</w:t>
      </w:r>
    </w:p>
    <w:p w:rsidR="006E0C59" w:rsidRDefault="006E0C59" w:rsidP="00897068">
      <w:pPr>
        <w:pStyle w:val="a3"/>
        <w:widowControl w:val="0"/>
        <w:numPr>
          <w:ilvl w:val="0"/>
          <w:numId w:val="13"/>
        </w:numPr>
        <w:tabs>
          <w:tab w:val="left" w:pos="567"/>
        </w:tabs>
        <w:spacing w:after="0" w:line="240" w:lineRule="auto"/>
        <w:jc w:val="both"/>
      </w:pPr>
      <w:r w:rsidRPr="00CF335A">
        <w:t xml:space="preserve">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897068">
        <w:rPr>
          <w:bCs/>
        </w:rPr>
        <w:t xml:space="preserve">на территории </w:t>
      </w:r>
      <w:r w:rsidR="009A02A5" w:rsidRPr="00897068">
        <w:rPr>
          <w:bCs/>
        </w:rPr>
        <w:t>сельского поселения Таймурзинский сельсовет муниципального района Дюртюлинский район Республики Башкортостан</w:t>
      </w:r>
      <w:r w:rsidRPr="00CF335A">
        <w:t>.</w:t>
      </w:r>
    </w:p>
    <w:p w:rsidR="00897068" w:rsidRDefault="00897068" w:rsidP="000817FB">
      <w:pPr>
        <w:pStyle w:val="a3"/>
        <w:widowControl w:val="0"/>
        <w:numPr>
          <w:ilvl w:val="0"/>
          <w:numId w:val="13"/>
        </w:numPr>
        <w:tabs>
          <w:tab w:val="left" w:pos="567"/>
        </w:tabs>
        <w:spacing w:after="0" w:line="240" w:lineRule="auto"/>
        <w:jc w:val="both"/>
      </w:pPr>
      <w:r w:rsidRPr="000817FB">
        <w:rPr>
          <w:bCs/>
        </w:rPr>
        <w:t>Признать утратившим</w:t>
      </w:r>
      <w:r w:rsidR="000817FB">
        <w:rPr>
          <w:bCs/>
        </w:rPr>
        <w:t>и силу постановления</w:t>
      </w:r>
      <w:r w:rsidRPr="000817FB">
        <w:rPr>
          <w:bCs/>
        </w:rPr>
        <w:t xml:space="preserve"> главы сельского поселения Таймурзинский сельсовет муниципального района Дюртюлинский район Республики Башкортостан от </w:t>
      </w:r>
      <w:r w:rsidR="000817FB" w:rsidRPr="000817FB">
        <w:rPr>
          <w:bCs/>
        </w:rPr>
        <w:t>07.10.2016. № 10/8 «</w:t>
      </w:r>
      <w:r w:rsidR="000817FB" w:rsidRPr="00CA2881">
        <w:t>Об утверждении административного регламента</w:t>
      </w:r>
      <w:r w:rsidR="000817FB">
        <w:t xml:space="preserve"> </w:t>
      </w:r>
      <w:r w:rsidR="000817FB" w:rsidRPr="00CA2881">
        <w:t>предоставления муниципальной услуги «Выдача ордеров на проведение земляных работ Администрацией сельского поселения Таймурзинский сельсовет муниципального района Дюртюлинский район Республики Башкортостан»</w:t>
      </w:r>
      <w:r w:rsidR="000817FB">
        <w:t xml:space="preserve">, от 12.10.2017. №10/4 «О внесении изменений в постановление </w:t>
      </w:r>
      <w:r w:rsidR="000817FB" w:rsidRPr="000817FB">
        <w:rPr>
          <w:bCs/>
        </w:rPr>
        <w:t>главы сельского поселения Таймурзинский сельсовет муниципального района Дюртюлинский район Республики Башкортостан от 07.10.2016. № 10/8 «</w:t>
      </w:r>
      <w:r w:rsidR="000817FB" w:rsidRPr="00CA2881">
        <w:t>Об утверждении административного регламента</w:t>
      </w:r>
      <w:r w:rsidR="000817FB">
        <w:t xml:space="preserve"> </w:t>
      </w:r>
      <w:r w:rsidR="000817FB" w:rsidRPr="00CA2881">
        <w:t>предоставления муниципальной услуги «Выдача ордеров на проведение земляных работ Администрацией сельского поселения Таймурзинский сельсовет муниципального района Дюртюлинский район Республики Башкортостан»</w:t>
      </w:r>
      <w:r w:rsidR="000817FB">
        <w:t>.</w:t>
      </w:r>
    </w:p>
    <w:p w:rsidR="009A02A5" w:rsidRDefault="009A02A5" w:rsidP="000817FB">
      <w:pPr>
        <w:pStyle w:val="a3"/>
        <w:widowControl w:val="0"/>
        <w:numPr>
          <w:ilvl w:val="0"/>
          <w:numId w:val="13"/>
        </w:numPr>
        <w:tabs>
          <w:tab w:val="left" w:pos="567"/>
        </w:tabs>
        <w:spacing w:after="0" w:line="240" w:lineRule="auto"/>
        <w:jc w:val="both"/>
      </w:pPr>
      <w:r w:rsidRPr="00003A73">
        <w:t xml:space="preserve">Настоящее </w:t>
      </w:r>
      <w:r>
        <w:t>п</w:t>
      </w:r>
      <w:r w:rsidRPr="00003A73">
        <w:t>остановление вступает в силу на следующи</w:t>
      </w:r>
      <w:r>
        <w:t>й день после дня его обнародования.</w:t>
      </w:r>
    </w:p>
    <w:p w:rsidR="000817FB" w:rsidRDefault="009A02A5" w:rsidP="000817FB">
      <w:pPr>
        <w:pStyle w:val="a3"/>
        <w:widowControl w:val="0"/>
        <w:numPr>
          <w:ilvl w:val="0"/>
          <w:numId w:val="13"/>
        </w:numPr>
        <w:tabs>
          <w:tab w:val="left" w:pos="567"/>
        </w:tabs>
        <w:spacing w:after="0" w:line="240" w:lineRule="auto"/>
        <w:jc w:val="both"/>
      </w:pPr>
      <w:r w:rsidRPr="00003A73">
        <w:t xml:space="preserve">Настоящее </w:t>
      </w:r>
      <w:r>
        <w:t>п</w:t>
      </w:r>
      <w:r w:rsidRPr="00003A73">
        <w:t>остановле</w:t>
      </w:r>
      <w:r>
        <w:t>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Республика Башкортостан, Дюртюлинский район, с.Таймурзино, ул.Советская, 4 и на официальном сайте в сети "Интернет"</w:t>
      </w:r>
      <w:r w:rsidRPr="00003A73">
        <w:t>.</w:t>
      </w:r>
    </w:p>
    <w:p w:rsidR="009A02A5" w:rsidRDefault="009A02A5" w:rsidP="000817FB">
      <w:pPr>
        <w:pStyle w:val="a3"/>
        <w:widowControl w:val="0"/>
        <w:numPr>
          <w:ilvl w:val="0"/>
          <w:numId w:val="13"/>
        </w:numPr>
        <w:tabs>
          <w:tab w:val="left" w:pos="567"/>
        </w:tabs>
        <w:spacing w:after="0" w:line="240" w:lineRule="auto"/>
        <w:jc w:val="both"/>
      </w:pPr>
      <w:r w:rsidRPr="00003A73">
        <w:lastRenderedPageBreak/>
        <w:t xml:space="preserve">Контроль за исполнением настоящего постановления </w:t>
      </w:r>
      <w:r>
        <w:t xml:space="preserve"> оставляю за собой.</w:t>
      </w:r>
    </w:p>
    <w:p w:rsidR="009A02A5" w:rsidRDefault="009A02A5" w:rsidP="009A02A5">
      <w:pPr>
        <w:autoSpaceDE w:val="0"/>
        <w:autoSpaceDN w:val="0"/>
        <w:adjustRightInd w:val="0"/>
        <w:spacing w:after="0" w:line="240" w:lineRule="auto"/>
        <w:ind w:firstLine="709"/>
        <w:jc w:val="both"/>
      </w:pPr>
    </w:p>
    <w:p w:rsidR="009A02A5" w:rsidRDefault="009A02A5" w:rsidP="009A02A5">
      <w:pPr>
        <w:autoSpaceDE w:val="0"/>
        <w:autoSpaceDN w:val="0"/>
        <w:adjustRightInd w:val="0"/>
        <w:spacing w:after="0" w:line="240" w:lineRule="auto"/>
        <w:ind w:firstLine="709"/>
        <w:jc w:val="both"/>
      </w:pPr>
    </w:p>
    <w:p w:rsidR="009A02A5" w:rsidRPr="00430A2F" w:rsidRDefault="009A02A5" w:rsidP="009A02A5">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w:t>
      </w:r>
      <w:r w:rsidRPr="00430A2F">
        <w:rPr>
          <w:b/>
        </w:rPr>
        <w:t xml:space="preserve">  </w:t>
      </w:r>
      <w:r>
        <w:rPr>
          <w:b/>
        </w:rPr>
        <w:t xml:space="preserve">      </w:t>
      </w:r>
      <w:r w:rsidRPr="00430A2F">
        <w:rPr>
          <w:b/>
        </w:rPr>
        <w:t xml:space="preserve">  Р.Т.Фатхутдинов</w:t>
      </w:r>
    </w:p>
    <w:p w:rsidR="009A02A5" w:rsidRPr="00430A2F" w:rsidRDefault="009A02A5" w:rsidP="009A02A5">
      <w:pPr>
        <w:autoSpaceDE w:val="0"/>
        <w:autoSpaceDN w:val="0"/>
        <w:adjustRightInd w:val="0"/>
        <w:spacing w:after="0" w:line="240" w:lineRule="auto"/>
        <w:ind w:firstLine="709"/>
        <w:outlineLvl w:val="0"/>
        <w:rPr>
          <w:b/>
        </w:rPr>
      </w:pPr>
    </w:p>
    <w:p w:rsidR="009A02A5" w:rsidRDefault="009A02A5" w:rsidP="009A02A5">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621D52" w:rsidRDefault="00621D52" w:rsidP="008E266D">
      <w:pPr>
        <w:autoSpaceDE w:val="0"/>
        <w:autoSpaceDN w:val="0"/>
        <w:adjustRightInd w:val="0"/>
        <w:spacing w:after="0" w:line="240" w:lineRule="auto"/>
        <w:ind w:firstLine="709"/>
        <w:outlineLvl w:val="0"/>
        <w:rPr>
          <w:b/>
          <w:bCs/>
        </w:rPr>
      </w:pPr>
    </w:p>
    <w:p w:rsidR="00621D52" w:rsidRDefault="00621D52" w:rsidP="008E266D">
      <w:pPr>
        <w:autoSpaceDE w:val="0"/>
        <w:autoSpaceDN w:val="0"/>
        <w:adjustRightInd w:val="0"/>
        <w:spacing w:after="0" w:line="240" w:lineRule="auto"/>
        <w:ind w:firstLine="709"/>
        <w:outlineLvl w:val="0"/>
        <w:rPr>
          <w:b/>
          <w:bCs/>
        </w:rPr>
      </w:pPr>
    </w:p>
    <w:p w:rsidR="00621D52" w:rsidRPr="00CF335A" w:rsidRDefault="00621D52" w:rsidP="008E266D">
      <w:pPr>
        <w:autoSpaceDE w:val="0"/>
        <w:autoSpaceDN w:val="0"/>
        <w:adjustRightInd w:val="0"/>
        <w:spacing w:after="0" w:line="240" w:lineRule="auto"/>
        <w:ind w:firstLine="709"/>
        <w:outlineLvl w:val="0"/>
        <w:rPr>
          <w:b/>
          <w:bCs/>
        </w:rPr>
      </w:pPr>
      <w:bookmarkStart w:id="0" w:name="_GoBack"/>
      <w:bookmarkEnd w:id="0"/>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9A02A5" w:rsidRDefault="009A02A5" w:rsidP="0087605E">
      <w:pPr>
        <w:tabs>
          <w:tab w:val="left" w:pos="7425"/>
        </w:tabs>
        <w:spacing w:after="0" w:line="240" w:lineRule="auto"/>
        <w:jc w:val="right"/>
        <w:rPr>
          <w:sz w:val="24"/>
          <w:szCs w:val="24"/>
        </w:rPr>
      </w:pPr>
      <w:r w:rsidRPr="009A02A5">
        <w:rPr>
          <w:sz w:val="24"/>
          <w:szCs w:val="24"/>
        </w:rPr>
        <w:lastRenderedPageBreak/>
        <w:t>УТВЕРЖДЕН</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п</w:t>
      </w:r>
      <w:r w:rsidR="0087605E" w:rsidRPr="009A02A5">
        <w:rPr>
          <w:sz w:val="24"/>
          <w:szCs w:val="24"/>
        </w:rPr>
        <w:t>остановлением</w:t>
      </w:r>
      <w:r w:rsidRPr="009A02A5">
        <w:rPr>
          <w:sz w:val="24"/>
          <w:szCs w:val="24"/>
        </w:rPr>
        <w:t xml:space="preserve"> главы сельского</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поселения Таймурзинский сельсовет</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муниципального района Дюртюлинский</w:t>
      </w:r>
    </w:p>
    <w:p w:rsidR="0087605E"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район Республики Башкортостан</w:t>
      </w:r>
    </w:p>
    <w:p w:rsidR="0087605E" w:rsidRPr="009A02A5" w:rsidRDefault="000817FB" w:rsidP="0087605E">
      <w:pPr>
        <w:widowControl w:val="0"/>
        <w:autoSpaceDE w:val="0"/>
        <w:autoSpaceDN w:val="0"/>
        <w:adjustRightInd w:val="0"/>
        <w:spacing w:after="0" w:line="240" w:lineRule="auto"/>
        <w:jc w:val="right"/>
        <w:rPr>
          <w:sz w:val="24"/>
          <w:szCs w:val="24"/>
        </w:rPr>
      </w:pPr>
      <w:r>
        <w:rPr>
          <w:sz w:val="24"/>
          <w:szCs w:val="24"/>
        </w:rPr>
        <w:t>от 04.12.2019  № 12/5</w:t>
      </w:r>
    </w:p>
    <w:p w:rsidR="0087605E" w:rsidRPr="009A02A5" w:rsidRDefault="0087605E" w:rsidP="0087605E">
      <w:pPr>
        <w:widowControl w:val="0"/>
        <w:spacing w:after="0" w:line="240" w:lineRule="auto"/>
        <w:contextualSpacing/>
        <w:jc w:val="center"/>
        <w:rPr>
          <w:sz w:val="24"/>
          <w:szCs w:val="24"/>
        </w:rPr>
      </w:pPr>
    </w:p>
    <w:p w:rsidR="009A02A5" w:rsidRDefault="0087605E" w:rsidP="009A02A5">
      <w:pPr>
        <w:pStyle w:val="ConsPlusTitle"/>
        <w:jc w:val="center"/>
        <w:rPr>
          <w:rFonts w:ascii="Times New Roman" w:hAnsi="Times New Roman" w:cs="Times New Roman"/>
          <w:sz w:val="28"/>
          <w:szCs w:val="28"/>
        </w:rPr>
      </w:pPr>
      <w:r w:rsidRPr="009A02A5">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9A02A5">
        <w:rPr>
          <w:rFonts w:ascii="Times New Roman" w:hAnsi="Times New Roman" w:cs="Times New Roman"/>
          <w:sz w:val="28"/>
          <w:szCs w:val="28"/>
        </w:rPr>
        <w:t>«</w:t>
      </w:r>
      <w:r w:rsidR="00972C56" w:rsidRPr="009A02A5">
        <w:rPr>
          <w:rFonts w:ascii="Times New Roman" w:hAnsi="Times New Roman" w:cs="Times New Roman"/>
          <w:sz w:val="28"/>
          <w:szCs w:val="28"/>
        </w:rPr>
        <w:t>Предоставление</w:t>
      </w:r>
      <w:r w:rsidR="00EA4D21" w:rsidRPr="009A02A5">
        <w:rPr>
          <w:rFonts w:ascii="Times New Roman" w:hAnsi="Times New Roman" w:cs="Times New Roman"/>
          <w:sz w:val="28"/>
          <w:szCs w:val="28"/>
        </w:rPr>
        <w:t xml:space="preserve"> разрешения на осуществление  земляных работ»  </w:t>
      </w:r>
      <w:r w:rsidR="009A02A5" w:rsidRPr="009A02A5">
        <w:rPr>
          <w:rFonts w:ascii="Times New Roman" w:hAnsi="Times New Roman" w:cs="Times New Roman"/>
          <w:sz w:val="28"/>
          <w:szCs w:val="28"/>
        </w:rPr>
        <w:t>на территории сельского поселения Таймурзинский сельсовет муниципального района Дюртюлинский район</w:t>
      </w:r>
      <w:r w:rsidR="009A02A5">
        <w:rPr>
          <w:rFonts w:ascii="Times New Roman" w:hAnsi="Times New Roman" w:cs="Times New Roman"/>
          <w:sz w:val="28"/>
          <w:szCs w:val="28"/>
        </w:rPr>
        <w:t xml:space="preserve"> </w:t>
      </w:r>
      <w:r w:rsidR="009A02A5" w:rsidRPr="009A02A5">
        <w:rPr>
          <w:rFonts w:ascii="Times New Roman" w:hAnsi="Times New Roman" w:cs="Times New Roman"/>
          <w:sz w:val="28"/>
          <w:szCs w:val="28"/>
        </w:rPr>
        <w:t>Республики Башкортостан</w:t>
      </w:r>
    </w:p>
    <w:p w:rsidR="009A02A5" w:rsidRPr="009A02A5" w:rsidRDefault="009A02A5" w:rsidP="009A02A5">
      <w:pPr>
        <w:pStyle w:val="ConsPlusTitle"/>
        <w:jc w:val="center"/>
        <w:rPr>
          <w:rFonts w:ascii="Times New Roman" w:hAnsi="Times New Roman" w:cs="Times New Roman"/>
          <w:sz w:val="28"/>
          <w:szCs w:val="28"/>
        </w:rPr>
      </w:pPr>
    </w:p>
    <w:p w:rsidR="00073986" w:rsidRPr="00CF335A" w:rsidRDefault="00073986" w:rsidP="009A02A5">
      <w:pPr>
        <w:widowControl w:val="0"/>
        <w:autoSpaceDE w:val="0"/>
        <w:autoSpaceDN w:val="0"/>
        <w:adjustRightInd w:val="0"/>
        <w:spacing w:after="0" w:line="240" w:lineRule="auto"/>
        <w:jc w:val="center"/>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009A02A5">
        <w:t xml:space="preserve">. </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9A02A5">
        <w:t>сельском поселении Таймурзинский сельсовет муниципаль</w:t>
      </w:r>
      <w:r w:rsidR="00E073D7">
        <w:t>ного района Дюртюлинский район Р</w:t>
      </w:r>
      <w:r w:rsidR="009A02A5">
        <w:t>еспублики</w:t>
      </w:r>
      <w:r w:rsidR="00E073D7">
        <w:t xml:space="preserve"> </w:t>
      </w:r>
      <w:r w:rsidR="009A02A5">
        <w:t>Башкортостан</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9A02A5">
        <w:rPr>
          <w:rFonts w:eastAsia="Calibri"/>
        </w:rPr>
        <w:t>сельского поселения Таймурзинский сельсовет муниципального района Дюртюлинский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9A02A5" w:rsidP="00752E04">
      <w:pPr>
        <w:widowControl w:val="0"/>
        <w:tabs>
          <w:tab w:val="left" w:pos="851"/>
          <w:tab w:val="left" w:pos="1134"/>
        </w:tabs>
        <w:spacing w:line="240" w:lineRule="auto"/>
        <w:ind w:firstLine="709"/>
        <w:contextualSpacing/>
        <w:jc w:val="both"/>
      </w:pPr>
      <w:r>
        <w:t>на официальном сайте</w:t>
      </w:r>
      <w:r w:rsidR="00752E04" w:rsidRPr="00CF335A">
        <w:t xml:space="preserve"> Администрации </w:t>
      </w:r>
      <w:r w:rsidR="009268FE" w:rsidRPr="00CF335A">
        <w:t>(</w:t>
      </w:r>
      <w:r w:rsidR="00752E04" w:rsidRPr="00CF335A">
        <w:t>Уполномоченного органа</w:t>
      </w:r>
      <w:r w:rsidR="009268FE" w:rsidRPr="00CF335A">
        <w:t>)</w:t>
      </w:r>
      <w:r w:rsidR="00752E04" w:rsidRPr="00CF335A">
        <w:t xml:space="preserve"> </w:t>
      </w:r>
      <w:hyperlink r:id="rId9" w:history="1">
        <w:r w:rsidR="0047694B">
          <w:rPr>
            <w:rStyle w:val="a4"/>
            <w:bCs/>
            <w:color w:val="000000"/>
            <w:u w:val="none"/>
          </w:rPr>
          <w:t>http://tajmurzin.</w:t>
        </w:r>
        <w:r w:rsidR="0047694B" w:rsidRPr="00275C35">
          <w:rPr>
            <w:rStyle w:val="a4"/>
            <w:bCs/>
            <w:color w:val="000000"/>
            <w:u w:val="none"/>
          </w:rPr>
          <w:t>ru</w:t>
        </w:r>
      </w:hyperlink>
      <w:r w:rsidR="00752E04"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CF335A">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2.2. Муниципальная услуга предоставляется Администрацией</w:t>
      </w:r>
      <w:r w:rsidR="0047694B">
        <w:rPr>
          <w:rFonts w:eastAsia="Calibri"/>
        </w:rPr>
        <w:t xml:space="preserve"> сельского поселения Таймурзинский сельсовет муниципального района Дюртюлинский район Республики Башкортостан (далее - сельское поселение) в лице управляющей делами.</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lastRenderedPageBreak/>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r>
        <w:t>Дюртюлинской комплексной службой филиала ПАО "Газпром газораспределение Уфа" в городе Нефтекамске;</w:t>
      </w:r>
    </w:p>
    <w:p w:rsidR="009A5132" w:rsidRDefault="00E073D7" w:rsidP="007741CB">
      <w:pPr>
        <w:widowControl w:val="0"/>
        <w:numPr>
          <w:ilvl w:val="2"/>
          <w:numId w:val="6"/>
        </w:numPr>
        <w:tabs>
          <w:tab w:val="left" w:pos="851"/>
          <w:tab w:val="left" w:pos="1134"/>
        </w:tabs>
        <w:spacing w:after="0" w:line="240" w:lineRule="auto"/>
        <w:ind w:left="0" w:firstLine="709"/>
        <w:contextualSpacing/>
        <w:jc w:val="both"/>
      </w:pPr>
      <w:r w:rsidRPr="00CF335A">
        <w:t>Главным управлением по обеспечению безопасности дорожного движения МВД России (далее - ГИБДД)</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r>
        <w:t>ПАО "Башинформсвязь";</w:t>
      </w:r>
    </w:p>
    <w:p w:rsidR="009A5132" w:rsidRPr="00CF335A" w:rsidRDefault="00E073D7" w:rsidP="00E073D7">
      <w:pPr>
        <w:widowControl w:val="0"/>
        <w:numPr>
          <w:ilvl w:val="2"/>
          <w:numId w:val="6"/>
        </w:numPr>
        <w:tabs>
          <w:tab w:val="left" w:pos="851"/>
          <w:tab w:val="left" w:pos="1134"/>
        </w:tabs>
        <w:spacing w:after="0" w:line="240" w:lineRule="auto"/>
        <w:ind w:left="0" w:firstLine="709"/>
        <w:contextualSpacing/>
        <w:jc w:val="both"/>
      </w:pPr>
      <w:r>
        <w:t>Дюртюлинским филиалом Октябрьских электрических сетей.</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 xml:space="preserve">через многофункциональный центр либо в </w:t>
      </w:r>
      <w:r w:rsidRPr="00CF335A">
        <w:lastRenderedPageBreak/>
        <w:t>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w:t>
      </w:r>
      <w:r w:rsidRPr="00CF335A">
        <w:rPr>
          <w:bCs/>
        </w:rPr>
        <w:lastRenderedPageBreak/>
        <w:t>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w:t>
      </w:r>
      <w:r w:rsidR="00F23F2F" w:rsidRPr="00CF335A">
        <w:lastRenderedPageBreak/>
        <w:t>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w:t>
      </w:r>
      <w:r w:rsidR="0047694B">
        <w:t>тийное письмо заявителя на имя Г</w:t>
      </w:r>
      <w:r w:rsidRPr="00CF335A">
        <w:t xml:space="preserve">лавы </w:t>
      </w:r>
      <w:r w:rsidR="0047694B">
        <w:t xml:space="preserve"> 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E073D7">
        <w:t>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w:t>
      </w:r>
      <w:r w:rsidR="0047694B">
        <w:t xml:space="preserve"> Главы сельского поселения</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lastRenderedPageBreak/>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F335A">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lastRenderedPageBreak/>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E073D7">
        <w:t xml:space="preserve">органов местного самоуправления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CF335A">
        <w:lastRenderedPageBreak/>
        <w:t>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CF335A">
        <w:lastRenderedPageBreak/>
        <w:t>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w:t>
      </w:r>
      <w:r w:rsidR="00E073D7">
        <w:t>"</w:t>
      </w:r>
      <w:r w:rsidR="00AB1086" w:rsidRPr="00CF335A">
        <w:t>Интернет</w:t>
      </w:r>
      <w:r w:rsidR="00E073D7">
        <w:t>"</w:t>
      </w:r>
      <w:r w:rsidR="00AB1086" w:rsidRPr="00CF335A">
        <w:t>),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CF335A">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учитываются и регистрируются в день их поступления либо в случае поступления запроса в нерабочий или </w:t>
      </w:r>
      <w:r w:rsidRPr="00CF335A">
        <w:lastRenderedPageBreak/>
        <w:t>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документов указанным </w:t>
      </w:r>
      <w:r w:rsidRPr="00CF335A">
        <w:lastRenderedPageBreak/>
        <w:t>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w:t>
      </w:r>
      <w:r w:rsidR="00DF5F4F" w:rsidRPr="00CF335A">
        <w:lastRenderedPageBreak/>
        <w:t>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CF335A">
        <w:lastRenderedPageBreak/>
        <w:t>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CF335A">
        <w:rPr>
          <w:sz w:val="28"/>
          <w:szCs w:val="28"/>
        </w:rPr>
        <w:lastRenderedPageBreak/>
        <w:t xml:space="preserve">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5066B">
          <w:rPr>
            <w:rStyle w:val="a4"/>
            <w:color w:val="auto"/>
            <w:u w:val="none"/>
          </w:rPr>
          <w:t>статьей 11.2</w:t>
        </w:r>
      </w:hyperlink>
      <w:r w:rsidRPr="00C5066B">
        <w:t xml:space="preserve"> </w:t>
      </w:r>
      <w:r w:rsidRPr="00CF335A">
        <w:t xml:space="preserve">Федерального закона №210-ФЗ и в порядке, установленном </w:t>
      </w:r>
      <w:hyperlink r:id="rId14" w:history="1">
        <w:r w:rsidRPr="00C5066B">
          <w:rPr>
            <w:rStyle w:val="a4"/>
            <w:color w:val="auto"/>
            <w:u w:val="none"/>
          </w:rPr>
          <w:t>постановлением</w:t>
        </w:r>
      </w:hyperlink>
      <w:r w:rsidRPr="00C5066B">
        <w:t xml:space="preserve"> </w:t>
      </w:r>
      <w:r w:rsidRPr="00CF335A">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CF335A">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5066B">
          <w:rPr>
            <w:rStyle w:val="a4"/>
            <w:color w:val="auto"/>
            <w:u w:val="none"/>
          </w:rPr>
          <w:t>Постановлением</w:t>
        </w:r>
      </w:hyperlink>
      <w:r w:rsidRPr="00C5066B">
        <w:t xml:space="preserve"> №</w:t>
      </w:r>
      <w:r w:rsidRPr="00CF335A">
        <w:t>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lastRenderedPageBreak/>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052DFC"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lastRenderedPageBreak/>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lastRenderedPageBreak/>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CF335A">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F335A">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C5066B">
        <w:t>сельского поселения</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Администрации (Уполномоченного органа), многофункционального центра, учредителя многофункционального центра, </w:t>
      </w:r>
      <w:r w:rsidRPr="00CF335A">
        <w:lastRenderedPageBreak/>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D34E1F" w:rsidRDefault="00753E47" w:rsidP="00D34E1F">
      <w:pPr>
        <w:autoSpaceDE w:val="0"/>
        <w:autoSpaceDN w:val="0"/>
        <w:adjustRightInd w:val="0"/>
        <w:spacing w:after="0" w:line="240" w:lineRule="auto"/>
        <w:ind w:firstLine="709"/>
        <w:jc w:val="both"/>
        <w:rPr>
          <w:b/>
        </w:rPr>
      </w:pPr>
      <w:r w:rsidRPr="00CF335A">
        <w:rPr>
          <w:b/>
        </w:rPr>
        <w:br w:type="page"/>
      </w: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lastRenderedPageBreak/>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0"/>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0"/>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Pr="00CF335A" w:rsidRDefault="00D34E1F"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Pr="00CF335A" w:rsidRDefault="00D34E1F"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420"/>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0817FB">
      <w:headerReference w:type="default" r:id="rId32"/>
      <w:headerReference w:type="first" r:id="rId33"/>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FC" w:rsidRDefault="00052DFC" w:rsidP="007753F7">
      <w:pPr>
        <w:spacing w:after="0" w:line="240" w:lineRule="auto"/>
      </w:pPr>
      <w:r>
        <w:separator/>
      </w:r>
    </w:p>
  </w:endnote>
  <w:endnote w:type="continuationSeparator" w:id="0">
    <w:p w:rsidR="00052DFC" w:rsidRDefault="00052DF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FC" w:rsidRDefault="00052DFC" w:rsidP="007753F7">
      <w:pPr>
        <w:spacing w:after="0" w:line="240" w:lineRule="auto"/>
      </w:pPr>
      <w:r>
        <w:separator/>
      </w:r>
    </w:p>
  </w:footnote>
  <w:footnote w:type="continuationSeparator" w:id="0">
    <w:p w:rsidR="00052DFC" w:rsidRDefault="00052DFC" w:rsidP="007753F7">
      <w:pPr>
        <w:spacing w:after="0" w:line="240" w:lineRule="auto"/>
      </w:pPr>
      <w:r>
        <w:continuationSeparator/>
      </w:r>
    </w:p>
  </w:footnote>
  <w:footnote w:id="1">
    <w:p w:rsidR="00897068" w:rsidRDefault="00897068" w:rsidP="00A166B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897068" w:rsidRDefault="00897068">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621D52">
          <w:rPr>
            <w:noProof/>
            <w:sz w:val="24"/>
            <w:szCs w:val="24"/>
          </w:rPr>
          <w:t>3</w:t>
        </w:r>
        <w:r w:rsidRPr="00EF41F1">
          <w:rPr>
            <w:sz w:val="24"/>
            <w:szCs w:val="24"/>
          </w:rPr>
          <w:fldChar w:fldCharType="end"/>
        </w:r>
      </w:p>
    </w:sdtContent>
  </w:sdt>
  <w:p w:rsidR="00897068" w:rsidRDefault="0089706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68" w:rsidRDefault="00897068">
    <w:pPr>
      <w:pStyle w:val="af0"/>
      <w:jc w:val="center"/>
    </w:pPr>
  </w:p>
  <w:p w:rsidR="00897068" w:rsidRDefault="0089706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D50BAD"/>
    <w:multiLevelType w:val="hybridMultilevel"/>
    <w:tmpl w:val="BE6E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2941AC"/>
    <w:multiLevelType w:val="hybridMultilevel"/>
    <w:tmpl w:val="45AC2672"/>
    <w:lvl w:ilvl="0" w:tplc="CCC4EE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19D6A4B"/>
    <w:multiLevelType w:val="hybridMultilevel"/>
    <w:tmpl w:val="BE6E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1"/>
  </w:num>
  <w:num w:numId="6">
    <w:abstractNumId w:val="11"/>
  </w:num>
  <w:num w:numId="7">
    <w:abstractNumId w:val="7"/>
  </w:num>
  <w:num w:numId="8">
    <w:abstractNumId w:val="2"/>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6502"/>
    <w:rsid w:val="00017335"/>
    <w:rsid w:val="0002209D"/>
    <w:rsid w:val="00024201"/>
    <w:rsid w:val="000263B3"/>
    <w:rsid w:val="00026FEC"/>
    <w:rsid w:val="00031BAA"/>
    <w:rsid w:val="00037E37"/>
    <w:rsid w:val="00045543"/>
    <w:rsid w:val="00052DFC"/>
    <w:rsid w:val="000578E8"/>
    <w:rsid w:val="0007294C"/>
    <w:rsid w:val="00073986"/>
    <w:rsid w:val="00073DF5"/>
    <w:rsid w:val="00075DDD"/>
    <w:rsid w:val="000817FB"/>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02E2"/>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21D52"/>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9706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252A"/>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customStyle="1" w:styleId="1">
    <w:name w:val="Знак Знак1"/>
    <w:basedOn w:val="a"/>
    <w:autoRedefine/>
    <w:rsid w:val="000817FB"/>
    <w:pPr>
      <w:spacing w:after="160" w:line="240" w:lineRule="exact"/>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68547367">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tajmurzin.ucoz.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A395-1E28-4BB7-99CF-DFAE7BDB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18990</Words>
  <Characters>108249</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13</cp:revision>
  <cp:lastPrinted>2019-12-04T11:48:00Z</cp:lastPrinted>
  <dcterms:created xsi:type="dcterms:W3CDTF">2018-12-10T04:40:00Z</dcterms:created>
  <dcterms:modified xsi:type="dcterms:W3CDTF">2019-12-05T05:03:00Z</dcterms:modified>
</cp:coreProperties>
</file>