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543184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54318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</w:p>
          <w:p w:rsidR="00512076" w:rsidRDefault="00512076" w:rsidP="005431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543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543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</w:t>
            </w:r>
            <w:proofErr w:type="gramEnd"/>
            <w:r>
              <w:rPr>
                <w:b/>
                <w:bCs/>
              </w:rPr>
              <w:t>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543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54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proofErr w:type="gramStart"/>
            <w:r>
              <w:rPr>
                <w:sz w:val="16"/>
                <w:szCs w:val="16"/>
              </w:rPr>
              <w:t>Таймыр</w:t>
            </w:r>
            <w:proofErr w:type="gramEnd"/>
            <w:r>
              <w:rPr>
                <w:sz w:val="16"/>
                <w:szCs w:val="16"/>
              </w:rPr>
              <w:t>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54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54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</w:t>
            </w:r>
            <w:proofErr w:type="gramEnd"/>
            <w:r>
              <w:rPr>
                <w:sz w:val="16"/>
                <w:szCs w:val="16"/>
              </w:rPr>
              <w:t>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54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ty</w:t>
            </w:r>
            <w:proofErr w:type="spellEnd"/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543184">
            <w:pPr>
              <w:jc w:val="center"/>
            </w:pPr>
          </w:p>
          <w:p w:rsidR="00512076" w:rsidRPr="0049607B" w:rsidRDefault="00512076" w:rsidP="0054318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54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543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543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543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543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54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4,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аймурзино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5431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512076" w:rsidRPr="00151D5B" w:rsidRDefault="00A4194E" w:rsidP="00512076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</w:t>
      </w:r>
      <w:r w:rsidR="00512076" w:rsidRPr="00151D5B"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512076" w:rsidRPr="00151D5B">
        <w:rPr>
          <w:b/>
          <w:sz w:val="28"/>
          <w:szCs w:val="28"/>
        </w:rPr>
        <w:t xml:space="preserve">созыв                                                              </w:t>
      </w:r>
      <w:r w:rsidR="0051207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29 </w:t>
      </w:r>
      <w:r w:rsidR="00512076" w:rsidRPr="00151D5B"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0C1272" w:rsidRDefault="000C1272" w:rsidP="000C1272">
      <w:pPr>
        <w:pStyle w:val="3"/>
        <w:jc w:val="center"/>
        <w:rPr>
          <w:b/>
          <w:sz w:val="28"/>
          <w:szCs w:val="28"/>
        </w:rPr>
      </w:pPr>
      <w:r w:rsidRPr="000C1272">
        <w:rPr>
          <w:b/>
          <w:sz w:val="28"/>
          <w:szCs w:val="28"/>
        </w:rPr>
        <w:t xml:space="preserve">О бюджете сельского поселения </w:t>
      </w:r>
      <w:proofErr w:type="spellStart"/>
      <w:r w:rsidRPr="000C1272">
        <w:rPr>
          <w:b/>
          <w:sz w:val="28"/>
          <w:szCs w:val="28"/>
        </w:rPr>
        <w:t>Таймурзинский</w:t>
      </w:r>
      <w:proofErr w:type="spellEnd"/>
      <w:r w:rsidRPr="000C1272">
        <w:rPr>
          <w:b/>
          <w:sz w:val="28"/>
          <w:szCs w:val="28"/>
        </w:rPr>
        <w:t xml:space="preserve"> сельсовет </w:t>
      </w:r>
    </w:p>
    <w:p w:rsidR="000C1272" w:rsidRDefault="000C1272" w:rsidP="000C1272">
      <w:pPr>
        <w:pStyle w:val="3"/>
        <w:jc w:val="center"/>
        <w:rPr>
          <w:b/>
          <w:sz w:val="28"/>
          <w:szCs w:val="28"/>
        </w:rPr>
      </w:pPr>
      <w:r w:rsidRPr="000C1272">
        <w:rPr>
          <w:b/>
          <w:sz w:val="28"/>
          <w:szCs w:val="28"/>
        </w:rPr>
        <w:t xml:space="preserve">муниципального района </w:t>
      </w:r>
      <w:proofErr w:type="spellStart"/>
      <w:r w:rsidRPr="000C1272"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0C1272" w:rsidRDefault="000C1272" w:rsidP="000C1272">
      <w:pPr>
        <w:pStyle w:val="3"/>
        <w:jc w:val="center"/>
        <w:rPr>
          <w:b/>
          <w:sz w:val="28"/>
          <w:szCs w:val="28"/>
        </w:rPr>
      </w:pPr>
      <w:r w:rsidRPr="000C1272">
        <w:rPr>
          <w:b/>
          <w:sz w:val="28"/>
          <w:szCs w:val="28"/>
        </w:rPr>
        <w:t xml:space="preserve"> на 2021 год и</w:t>
      </w:r>
      <w:r>
        <w:rPr>
          <w:b/>
          <w:sz w:val="28"/>
          <w:szCs w:val="28"/>
        </w:rPr>
        <w:t xml:space="preserve"> на</w:t>
      </w:r>
      <w:r w:rsidRPr="000C1272">
        <w:rPr>
          <w:b/>
          <w:sz w:val="28"/>
          <w:szCs w:val="28"/>
        </w:rPr>
        <w:t xml:space="preserve"> плановый период</w:t>
      </w:r>
      <w:r>
        <w:rPr>
          <w:b/>
          <w:sz w:val="28"/>
          <w:szCs w:val="28"/>
        </w:rPr>
        <w:t xml:space="preserve"> </w:t>
      </w:r>
      <w:r w:rsidRPr="000C1272">
        <w:rPr>
          <w:b/>
          <w:sz w:val="28"/>
          <w:szCs w:val="28"/>
        </w:rPr>
        <w:t xml:space="preserve"> 2022 и 2023 годов </w:t>
      </w:r>
    </w:p>
    <w:p w:rsidR="000C1272" w:rsidRPr="000C1272" w:rsidRDefault="000C1272" w:rsidP="000C1272">
      <w:pPr>
        <w:pStyle w:val="3"/>
        <w:jc w:val="center"/>
        <w:rPr>
          <w:b/>
          <w:sz w:val="28"/>
          <w:szCs w:val="28"/>
        </w:rPr>
      </w:pPr>
    </w:p>
    <w:p w:rsidR="000C1272" w:rsidRPr="000C1272" w:rsidRDefault="000C1272" w:rsidP="000C1272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C1272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0C1272">
        <w:rPr>
          <w:bCs/>
          <w:sz w:val="28"/>
          <w:szCs w:val="28"/>
        </w:rPr>
        <w:t>Таймурзинский</w:t>
      </w:r>
      <w:proofErr w:type="spellEnd"/>
      <w:r w:rsidRPr="000C127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C1272">
        <w:rPr>
          <w:bCs/>
          <w:sz w:val="28"/>
          <w:szCs w:val="28"/>
        </w:rPr>
        <w:t>Дюртюлинский</w:t>
      </w:r>
      <w:proofErr w:type="spellEnd"/>
      <w:r w:rsidRPr="000C1272">
        <w:rPr>
          <w:bCs/>
          <w:sz w:val="28"/>
          <w:szCs w:val="28"/>
        </w:rPr>
        <w:t xml:space="preserve"> район Республики Башкортостан </w:t>
      </w:r>
    </w:p>
    <w:p w:rsidR="000C1272" w:rsidRPr="000C1272" w:rsidRDefault="000C1272" w:rsidP="000C1272">
      <w:pPr>
        <w:pStyle w:val="1"/>
        <w:jc w:val="left"/>
        <w:rPr>
          <w:b w:val="0"/>
          <w:sz w:val="28"/>
          <w:szCs w:val="28"/>
        </w:rPr>
      </w:pPr>
      <w:r w:rsidRPr="000C1272">
        <w:rPr>
          <w:b w:val="0"/>
          <w:sz w:val="28"/>
          <w:szCs w:val="28"/>
        </w:rPr>
        <w:t>РЕШИЛ: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бюджет поселения) на</w:t>
      </w:r>
      <w:r>
        <w:rPr>
          <w:noProof/>
          <w:sz w:val="28"/>
          <w:szCs w:val="28"/>
        </w:rPr>
        <w:t xml:space="preserve"> 2021 </w:t>
      </w:r>
      <w:r>
        <w:rPr>
          <w:sz w:val="28"/>
          <w:szCs w:val="28"/>
        </w:rPr>
        <w:t>год: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общий объем доходов в сумме  3593 тыс. рублей;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общий объем расходов в сумме 3593 тыс. рублей.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2.Утвердить основные характеристики бюджета поселения на плановый период 2022 и 2023 годов: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общий объем доходов на 2022 год в сумме 3171 тыс. рублей и на 2023 год в сумме 3254 тыс. рублей;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на 2022 год в сумме  3171 тыс. рублей, в том числе условно утвержденные расходы в сумме 100 тыс. рублей, и на 2023 год в сумме 3254 тыс. рублей, в том числе условно утвержденные расходы в сумме 222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3.Установить, что муниципальные унитарные предприятия, созданные сельским поселением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производят отчисления в бюджет поселения в размере 10 процентов от прибыли, остающейся после уплаты налогов и иных обязательных платежей в бюджет, в установленном порядке.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4.Установить,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соответствующих целям, на достижение которых предоставлены добровольные взносы (пожертвования).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5.Утвердить перечень главных администраторов доходов бюджета поселения согласно приложению №1 к настоящему Решению.</w:t>
      </w:r>
    </w:p>
    <w:p w:rsidR="000C1272" w:rsidRDefault="000C1272" w:rsidP="000C12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согласно приложению №2 к настоящему Решению.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7.</w:t>
      </w:r>
      <w:r>
        <w:rPr>
          <w:sz w:val="28"/>
          <w:szCs w:val="28"/>
        </w:rPr>
        <w:t>Установить поступления доходов в бюджет поселения: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</w:t>
      </w:r>
      <w:r>
        <w:rPr>
          <w:noProof/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 согласно приложению</w:t>
      </w:r>
      <w:r>
        <w:rPr>
          <w:noProof/>
          <w:sz w:val="28"/>
          <w:szCs w:val="28"/>
        </w:rPr>
        <w:t xml:space="preserve"> №3</w:t>
      </w:r>
      <w:r>
        <w:rPr>
          <w:sz w:val="28"/>
          <w:szCs w:val="28"/>
        </w:rPr>
        <w:t xml:space="preserve"> к настоящему Решению;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№4 к настоящему Решению.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8.Средства, поступающие во временное распоряжение получателей средств бюджета поселения, учитываются на счете, открытом администрации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поселения в финансовом управлении администрации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(</w:t>
      </w:r>
      <w:r>
        <w:rPr>
          <w:i/>
          <w:sz w:val="28"/>
          <w:szCs w:val="28"/>
        </w:rPr>
        <w:t>далее – финансовое управление</w:t>
      </w:r>
      <w:r>
        <w:rPr>
          <w:sz w:val="28"/>
          <w:szCs w:val="28"/>
        </w:rPr>
        <w:t>), в порядке, установленном финансовым управлением.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</w:t>
      </w:r>
      <w:r>
        <w:rPr>
          <w:noProof/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 согласно приложению</w:t>
      </w:r>
      <w:r>
        <w:rPr>
          <w:noProof/>
          <w:sz w:val="28"/>
          <w:szCs w:val="28"/>
        </w:rPr>
        <w:t xml:space="preserve"> №5</w:t>
      </w:r>
      <w:r>
        <w:rPr>
          <w:sz w:val="28"/>
          <w:szCs w:val="28"/>
        </w:rPr>
        <w:t xml:space="preserve"> к настоящему Решению;</w:t>
      </w:r>
    </w:p>
    <w:p w:rsidR="000C1272" w:rsidRDefault="000C1272" w:rsidP="000C1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№6 к настоящему Решению.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</w:t>
      </w:r>
      <w:r>
        <w:rPr>
          <w:noProof/>
          <w:sz w:val="28"/>
          <w:szCs w:val="28"/>
        </w:rPr>
        <w:t xml:space="preserve"> 2021 </w:t>
      </w:r>
      <w:r>
        <w:rPr>
          <w:sz w:val="28"/>
          <w:szCs w:val="28"/>
        </w:rPr>
        <w:t>год согласно приложению</w:t>
      </w:r>
      <w:r>
        <w:rPr>
          <w:noProof/>
          <w:sz w:val="28"/>
          <w:szCs w:val="28"/>
        </w:rPr>
        <w:t xml:space="preserve"> №7</w:t>
      </w:r>
      <w:r>
        <w:rPr>
          <w:sz w:val="28"/>
          <w:szCs w:val="28"/>
        </w:rPr>
        <w:t xml:space="preserve"> к настоящему Решению;</w:t>
      </w:r>
    </w:p>
    <w:p w:rsidR="000C1272" w:rsidRDefault="000C1272" w:rsidP="000C1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№8 к настоящему Решению.</w:t>
      </w:r>
    </w:p>
    <w:p w:rsidR="000C1272" w:rsidRPr="000C1272" w:rsidRDefault="000C1272" w:rsidP="000C1272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0C1272">
        <w:rPr>
          <w:sz w:val="28"/>
          <w:szCs w:val="28"/>
        </w:rPr>
        <w:t>Утвердить ведомственную структуру расходов бюджета поселения:</w:t>
      </w:r>
    </w:p>
    <w:p w:rsidR="000C1272" w:rsidRPr="000C1272" w:rsidRDefault="000C1272" w:rsidP="000C1272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1272">
        <w:rPr>
          <w:sz w:val="28"/>
          <w:szCs w:val="28"/>
        </w:rPr>
        <w:t>а) на 2021 год согласно приложению №9 к настоящему Решению;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1272">
        <w:rPr>
          <w:sz w:val="28"/>
          <w:szCs w:val="28"/>
        </w:rPr>
        <w:t>б) на плановый период 2022 и 2023 годов согласно</w:t>
      </w:r>
      <w:r>
        <w:rPr>
          <w:sz w:val="28"/>
          <w:szCs w:val="28"/>
        </w:rPr>
        <w:t xml:space="preserve"> приложению №10 к настоящему Решению.</w:t>
      </w:r>
    </w:p>
    <w:p w:rsidR="000C1272" w:rsidRPr="000C1272" w:rsidRDefault="000C1272" w:rsidP="000C1272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t xml:space="preserve">     </w:t>
      </w:r>
      <w:proofErr w:type="gramStart"/>
      <w:r>
        <w:t>12.</w:t>
      </w:r>
      <w:r w:rsidRPr="000C1272">
        <w:rPr>
          <w:sz w:val="28"/>
          <w:szCs w:val="28"/>
        </w:rPr>
        <w:t xml:space="preserve">Установить, что нормативные правовые акты сельского поселения </w:t>
      </w:r>
      <w:proofErr w:type="spellStart"/>
      <w:r w:rsidRPr="000C1272">
        <w:rPr>
          <w:sz w:val="28"/>
          <w:szCs w:val="28"/>
        </w:rPr>
        <w:t>Таймурзинский</w:t>
      </w:r>
      <w:proofErr w:type="spellEnd"/>
      <w:r w:rsidRPr="000C1272">
        <w:rPr>
          <w:sz w:val="28"/>
          <w:szCs w:val="28"/>
        </w:rPr>
        <w:t xml:space="preserve"> сельсовет муниципального района  </w:t>
      </w:r>
      <w:proofErr w:type="spellStart"/>
      <w:r w:rsidRPr="000C1272">
        <w:rPr>
          <w:sz w:val="28"/>
          <w:szCs w:val="28"/>
        </w:rPr>
        <w:t>Дюртюлинский</w:t>
      </w:r>
      <w:proofErr w:type="spellEnd"/>
      <w:r w:rsidRPr="000C1272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 и 2023 годов, а также сокращающие его доходную базу, подлежат исполнению  при изыскании </w:t>
      </w:r>
      <w:r w:rsidRPr="000C1272">
        <w:rPr>
          <w:sz w:val="28"/>
          <w:szCs w:val="28"/>
        </w:rPr>
        <w:lastRenderedPageBreak/>
        <w:t>дополнительных источников</w:t>
      </w:r>
      <w:proofErr w:type="gramEnd"/>
      <w:r w:rsidRPr="000C1272">
        <w:rPr>
          <w:sz w:val="28"/>
          <w:szCs w:val="28"/>
        </w:rPr>
        <w:t xml:space="preserve"> доходов бюджета поселения и (или) </w:t>
      </w:r>
      <w:proofErr w:type="gramStart"/>
      <w:r w:rsidRPr="000C1272">
        <w:rPr>
          <w:sz w:val="28"/>
          <w:szCs w:val="28"/>
        </w:rPr>
        <w:t>сокращении</w:t>
      </w:r>
      <w:proofErr w:type="gramEnd"/>
      <w:r w:rsidRPr="000C1272">
        <w:rPr>
          <w:sz w:val="28"/>
          <w:szCs w:val="28"/>
        </w:rPr>
        <w:t xml:space="preserve">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 и на плановый период 2022 и 2023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>
        <w:rPr>
          <w:sz w:val="28"/>
          <w:szCs w:val="28"/>
        </w:rPr>
        <w:t xml:space="preserve"> расходов бюджета поселения.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13.Администрация поселения не вправе принимать решения, приводящие к увеличению в 2021-2023 году численности муниципальных служащих и работников организаций бюджетной сферы.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14.Установить верхний предел муниципального долга на 1 января 2022 года в сумме 0,0 тыс. рублей, на 1 января 2023 года в сумме 0,0 тыс. рублей, на 1 января 2024 года в сумме 0,0 тыс. рублей, в том числе  верхний предел  долга по муниципальным гарантиям на 1 января 2022 года в сумме 0,0 тыс. рублей, на 1 января 2023 года</w:t>
      </w:r>
      <w:proofErr w:type="gramEnd"/>
      <w:r>
        <w:rPr>
          <w:sz w:val="28"/>
          <w:szCs w:val="28"/>
        </w:rPr>
        <w:t xml:space="preserve"> в сумме 0,0 тыс. рублей, на 1 января 2024 года в сумме 0,0 тыс. рублей;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15.Установить, что остатки средств бюджета поселения по состоянию на 1 января 2021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Установить в бюджете поселения расходы на формирование резервного фонда в сумме 10 тыс. рублей.</w:t>
      </w:r>
    </w:p>
    <w:p w:rsidR="000C1272" w:rsidRDefault="000C1272" w:rsidP="000C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0C1272" w:rsidRDefault="000C1272" w:rsidP="000C1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0C1272" w:rsidRPr="000C1272" w:rsidRDefault="000C1272" w:rsidP="000C1272">
      <w:pPr>
        <w:pStyle w:val="21"/>
        <w:shd w:val="clear" w:color="auto" w:fill="FFFFFF"/>
        <w:tabs>
          <w:tab w:val="left" w:pos="1080"/>
        </w:tabs>
        <w:spacing w:line="240" w:lineRule="auto"/>
        <w:ind w:right="11"/>
        <w:jc w:val="both"/>
        <w:rPr>
          <w:sz w:val="28"/>
          <w:szCs w:val="28"/>
        </w:rPr>
      </w:pPr>
      <w:r>
        <w:t xml:space="preserve">      </w:t>
      </w:r>
      <w:r w:rsidRPr="000C1272">
        <w:rPr>
          <w:sz w:val="28"/>
          <w:szCs w:val="28"/>
        </w:rPr>
        <w:t>2) использование остатков средств бюджета поселения на 1 января 2021 года;</w:t>
      </w:r>
    </w:p>
    <w:p w:rsidR="000C1272" w:rsidRDefault="000C1272" w:rsidP="000C1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средств резервного фонда;</w:t>
      </w:r>
    </w:p>
    <w:p w:rsidR="000C1272" w:rsidRDefault="000C1272" w:rsidP="000C1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иных случаях установленных бюджетным законодательством.</w:t>
      </w:r>
    </w:p>
    <w:p w:rsidR="000C1272" w:rsidRDefault="000C1272" w:rsidP="000C1272">
      <w:pPr>
        <w:spacing w:before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18.</w:t>
      </w:r>
      <w:r>
        <w:rPr>
          <w:sz w:val="28"/>
          <w:szCs w:val="28"/>
        </w:rPr>
        <w:t xml:space="preserve"> Данное решение вступает в силу с 1 января 2021 года.</w:t>
      </w:r>
    </w:p>
    <w:p w:rsidR="008F7F6A" w:rsidRDefault="000C1272" w:rsidP="000C1272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F6A">
        <w:rPr>
          <w:sz w:val="28"/>
          <w:szCs w:val="28"/>
        </w:rPr>
        <w:t xml:space="preserve">   </w:t>
      </w:r>
    </w:p>
    <w:p w:rsidR="008F7F6A" w:rsidRDefault="008F7F6A" w:rsidP="008F7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И.К.Ахунов</w:t>
      </w:r>
      <w:proofErr w:type="spellEnd"/>
    </w:p>
    <w:p w:rsidR="008F7F6A" w:rsidRDefault="008F7F6A" w:rsidP="008F7F6A">
      <w:pPr>
        <w:jc w:val="both"/>
      </w:pPr>
    </w:p>
    <w:p w:rsidR="008F7F6A" w:rsidRDefault="008F7F6A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аймурзино</w:t>
      </w:r>
      <w:proofErr w:type="spellEnd"/>
    </w:p>
    <w:p w:rsidR="008F7F6A" w:rsidRDefault="00A4194E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="008F7F6A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512076" w:rsidRPr="000C1272" w:rsidRDefault="00A4194E" w:rsidP="000C1272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29/90</w:t>
      </w:r>
      <w:bookmarkStart w:id="0" w:name="_GoBack"/>
      <w:bookmarkEnd w:id="0"/>
    </w:p>
    <w:sectPr w:rsidR="00512076" w:rsidRPr="000C1272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72C6F"/>
    <w:multiLevelType w:val="hybridMultilevel"/>
    <w:tmpl w:val="A712DDE2"/>
    <w:lvl w:ilvl="0" w:tplc="C61214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0C1272"/>
    <w:rsid w:val="00107165"/>
    <w:rsid w:val="002248AC"/>
    <w:rsid w:val="00456448"/>
    <w:rsid w:val="00512076"/>
    <w:rsid w:val="008F7F6A"/>
    <w:rsid w:val="00A4194E"/>
    <w:rsid w:val="00BE14B5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2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semiHidden/>
    <w:unhideWhenUsed/>
    <w:rsid w:val="004564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6448"/>
    <w:rPr>
      <w:sz w:val="24"/>
      <w:szCs w:val="24"/>
    </w:rPr>
  </w:style>
  <w:style w:type="paragraph" w:customStyle="1" w:styleId="ConsNormal">
    <w:name w:val="ConsNormal"/>
    <w:rsid w:val="00224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C1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1272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C12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27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C127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2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semiHidden/>
    <w:unhideWhenUsed/>
    <w:rsid w:val="004564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6448"/>
    <w:rPr>
      <w:sz w:val="24"/>
      <w:szCs w:val="24"/>
    </w:rPr>
  </w:style>
  <w:style w:type="paragraph" w:customStyle="1" w:styleId="ConsNormal">
    <w:name w:val="ConsNormal"/>
    <w:rsid w:val="00224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C1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1272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C12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27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C12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2020-12-24T05:30:00Z</cp:lastPrinted>
  <dcterms:created xsi:type="dcterms:W3CDTF">2020-12-23T11:43:00Z</dcterms:created>
  <dcterms:modified xsi:type="dcterms:W3CDTF">2021-01-14T06:57:00Z</dcterms:modified>
</cp:coreProperties>
</file>